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72"/>
          <w:szCs w:val="72"/>
          <w:lang w:val="en-US" w:eastAsia="zh-CN"/>
        </w:rPr>
      </w:pP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72"/>
          <w:szCs w:val="72"/>
          <w:lang w:val="en-US" w:eastAsia="zh-CN"/>
        </w:rPr>
      </w:pP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72"/>
          <w:szCs w:val="72"/>
          <w:lang w:val="en-US" w:eastAsia="zh-CN"/>
        </w:rPr>
      </w:pPr>
    </w:p>
    <w:p>
      <w:pPr>
        <w:pStyle w:val="15"/>
        <w:ind w:firstLine="0" w:firstLineChars="0"/>
        <w:jc w:val="center"/>
        <w:outlineLvl w:val="9"/>
        <w:rPr>
          <w:rFonts w:hint="eastAsia" w:ascii="黑体" w:hAnsi="黑体" w:eastAsia="黑体" w:cs="黑体"/>
          <w:color w:val="000000"/>
          <w:sz w:val="72"/>
          <w:szCs w:val="72"/>
          <w:lang w:val="en-US" w:eastAsia="zh-CN"/>
        </w:rPr>
      </w:pPr>
      <w:bookmarkStart w:id="0" w:name="_Toc9932"/>
      <w:bookmarkStart w:id="1" w:name="_Toc19463"/>
      <w:r>
        <w:rPr>
          <w:rFonts w:hint="eastAsia" w:ascii="黑体" w:hAnsi="黑体" w:eastAsia="黑体" w:cs="黑体"/>
          <w:color w:val="000000"/>
          <w:sz w:val="72"/>
          <w:szCs w:val="72"/>
          <w:lang w:val="en-US" w:eastAsia="zh-CN"/>
        </w:rPr>
        <w:t>全国</w:t>
      </w:r>
      <w:r>
        <w:rPr>
          <w:rFonts w:hint="eastAsia" w:ascii="黑体" w:hAnsi="黑体" w:eastAsia="黑体" w:cs="黑体"/>
          <w:color w:val="000000"/>
          <w:sz w:val="72"/>
          <w:szCs w:val="72"/>
          <w:lang w:eastAsia="zh-CN"/>
        </w:rPr>
        <w:t>文化馆年报</w:t>
      </w:r>
      <w:r>
        <w:rPr>
          <w:rFonts w:hint="eastAsia" w:ascii="黑体" w:hAnsi="黑体" w:eastAsia="黑体" w:cs="黑体"/>
          <w:color w:val="000000"/>
          <w:sz w:val="72"/>
          <w:szCs w:val="72"/>
          <w:lang w:val="en-US" w:eastAsia="zh-CN"/>
        </w:rPr>
        <w:t>展示平台</w:t>
      </w:r>
      <w:bookmarkEnd w:id="0"/>
      <w:bookmarkEnd w:id="1"/>
    </w:p>
    <w:p>
      <w:pPr>
        <w:pStyle w:val="15"/>
        <w:ind w:firstLine="0" w:firstLineChars="0"/>
        <w:jc w:val="center"/>
        <w:rPr>
          <w:rFonts w:hint="eastAsia" w:ascii="黑体" w:hAnsi="黑体" w:eastAsia="黑体" w:cs="黑体"/>
          <w:color w:val="000000"/>
          <w:sz w:val="72"/>
          <w:szCs w:val="72"/>
        </w:rPr>
      </w:pPr>
      <w:r>
        <w:rPr>
          <w:rFonts w:hint="eastAsia" w:ascii="黑体" w:hAnsi="黑体" w:eastAsia="黑体" w:cs="黑体"/>
          <w:color w:val="000000"/>
          <w:sz w:val="72"/>
          <w:szCs w:val="72"/>
        </w:rPr>
        <w:t>操作手册</w:t>
      </w: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72"/>
          <w:szCs w:val="72"/>
        </w:rPr>
      </w:pP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72"/>
          <w:szCs w:val="72"/>
        </w:rPr>
      </w:pP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72"/>
          <w:szCs w:val="72"/>
        </w:rPr>
      </w:pP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72"/>
          <w:szCs w:val="72"/>
        </w:rPr>
      </w:pP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72"/>
          <w:szCs w:val="72"/>
        </w:rPr>
      </w:pP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72"/>
          <w:szCs w:val="72"/>
        </w:rPr>
      </w:pP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48"/>
          <w:szCs w:val="48"/>
          <w:lang w:val="en-US" w:eastAsia="zh-CN"/>
        </w:rPr>
      </w:pPr>
    </w:p>
    <w:p>
      <w:pPr>
        <w:pStyle w:val="15"/>
        <w:ind w:firstLine="0" w:firstLineChars="0"/>
        <w:jc w:val="center"/>
        <w:rPr>
          <w:rFonts w:hint="eastAsia" w:ascii="宋体" w:hAnsi="宋体"/>
          <w:color w:val="000000"/>
          <w:sz w:val="48"/>
          <w:szCs w:val="48"/>
          <w:lang w:val="en-US" w:eastAsia="zh-CN"/>
        </w:rPr>
      </w:pPr>
    </w:p>
    <w:p>
      <w:pPr>
        <w:pStyle w:val="15"/>
        <w:ind w:firstLine="0" w:firstLineChars="0"/>
        <w:jc w:val="center"/>
        <w:rPr>
          <w:rFonts w:hint="default" w:ascii="宋体" w:hAnsi="宋体"/>
          <w:color w:val="000000"/>
          <w:sz w:val="48"/>
          <w:szCs w:val="4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黑体" w:hAnsi="黑体" w:eastAsia="黑体" w:cs="黑体"/>
          <w:b w:val="0"/>
          <w:bCs w:val="0"/>
          <w:kern w:val="2"/>
          <w:sz w:val="44"/>
          <w:szCs w:val="44"/>
          <w:lang w:val="en-US" w:eastAsia="zh-CN" w:bidi="ar-SA"/>
        </w:rPr>
        <w:id w:val="147477564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b w:val="0"/>
          <w:bCs w:val="0"/>
          <w:kern w:val="2"/>
          <w:sz w:val="4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 w:val="0"/>
              <w:bCs w:val="0"/>
              <w:sz w:val="44"/>
              <w:szCs w:val="44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44"/>
              <w:szCs w:val="44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 w:val="0"/>
              <w:bCs w:val="0"/>
              <w:sz w:val="44"/>
              <w:szCs w:val="44"/>
            </w:rPr>
          </w:pP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_Toc9670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年报平台入口</w:t>
          </w:r>
          <w:r>
            <w:tab/>
          </w:r>
          <w:r>
            <w:fldChar w:fldCharType="begin"/>
          </w:r>
          <w:r>
            <w:instrText xml:space="preserve"> PAGEREF _Toc9670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机构用户注册/登录</w:t>
          </w:r>
          <w:r>
            <w:tab/>
          </w:r>
          <w:r>
            <w:fldChar w:fldCharType="begin"/>
          </w:r>
          <w:r>
            <w:instrText xml:space="preserve"> PAGEREF _Toc15955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（一） 注册</w:t>
          </w:r>
          <w:r>
            <w:tab/>
          </w:r>
          <w:r>
            <w:fldChar w:fldCharType="begin"/>
          </w:r>
          <w:r>
            <w:instrText xml:space="preserve"> PAGEREF _Toc31810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_Toc31072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（二） 认证</w:t>
          </w:r>
          <w:r>
            <w:tab/>
          </w:r>
          <w:r>
            <w:fldChar w:fldCharType="begin"/>
          </w:r>
          <w:r>
            <w:instrText xml:space="preserve"> PAGEREF _Toc31072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_Toc13371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（三） 登录</w:t>
          </w:r>
          <w:r>
            <w:tab/>
          </w:r>
          <w:r>
            <w:fldChar w:fldCharType="begin"/>
          </w:r>
          <w:r>
            <w:instrText xml:space="preserve"> PAGEREF _Toc13371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_Toc10299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 年报管理</w:t>
          </w:r>
          <w:r>
            <w:tab/>
          </w:r>
          <w:r>
            <w:fldChar w:fldCharType="begin"/>
          </w:r>
          <w:r>
            <w:instrText xml:space="preserve"> PAGEREF _Toc10299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_Toc27895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（一） 本单位年报管理</w:t>
          </w:r>
          <w:r>
            <w:tab/>
          </w:r>
          <w:r>
            <w:fldChar w:fldCharType="begin"/>
          </w:r>
          <w:r>
            <w:instrText xml:space="preserve"> PAGEREF _Toc27895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_Toc20794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1． </w:t>
          </w:r>
          <w:r>
            <w:rPr>
              <w:rFonts w:hint="eastAsia"/>
              <w:lang w:val="en-US" w:eastAsia="zh-CN"/>
            </w:rPr>
            <w:t>新建年报</w:t>
          </w:r>
          <w:r>
            <w:tab/>
          </w:r>
          <w:r>
            <w:fldChar w:fldCharType="begin"/>
          </w:r>
          <w:r>
            <w:instrText xml:space="preserve"> PAGEREF _Toc20794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_Toc3835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2． </w:t>
          </w:r>
          <w:r>
            <w:rPr>
              <w:rFonts w:hint="eastAsia"/>
              <w:lang w:val="en-US" w:eastAsia="zh-CN"/>
            </w:rPr>
            <w:t>查看年报</w:t>
          </w:r>
          <w:r>
            <w:tab/>
          </w:r>
          <w:r>
            <w:fldChar w:fldCharType="begin"/>
          </w:r>
          <w:r>
            <w:instrText xml:space="preserve"> PAGEREF _Toc3835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_Toc20557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3． </w:t>
          </w:r>
          <w:r>
            <w:rPr>
              <w:rFonts w:hint="eastAsia"/>
              <w:lang w:val="en-US" w:eastAsia="zh-CN"/>
            </w:rPr>
            <w:t>编辑年报</w:t>
          </w:r>
          <w:r>
            <w:tab/>
          </w:r>
          <w:r>
            <w:fldChar w:fldCharType="begin"/>
          </w:r>
          <w:r>
            <w:instrText xml:space="preserve"> PAGEREF _Toc20557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_Toc11781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4． </w:t>
          </w:r>
          <w:r>
            <w:rPr>
              <w:rFonts w:hint="eastAsia"/>
              <w:lang w:val="en-US" w:eastAsia="zh-CN"/>
            </w:rPr>
            <w:t>删除年报</w:t>
          </w:r>
          <w:r>
            <w:tab/>
          </w:r>
          <w:r>
            <w:fldChar w:fldCharType="begin"/>
          </w:r>
          <w:r>
            <w:instrText xml:space="preserve"> PAGEREF _Toc11781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_Toc15232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5． </w:t>
          </w:r>
          <w:r>
            <w:rPr>
              <w:rFonts w:hint="eastAsia"/>
              <w:lang w:val="en-US" w:eastAsia="zh-CN"/>
            </w:rPr>
            <w:t>下载年报</w:t>
          </w:r>
          <w:r>
            <w:tab/>
          </w:r>
          <w:r>
            <w:fldChar w:fldCharType="begin"/>
          </w:r>
          <w:r>
            <w:instrText xml:space="preserve"> PAGEREF _Toc15232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_Toc15384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6． </w:t>
          </w:r>
          <w:r>
            <w:rPr>
              <w:rFonts w:hint="eastAsia"/>
              <w:lang w:val="en-US" w:eastAsia="zh-CN"/>
            </w:rPr>
            <w:t>打印年报</w:t>
          </w:r>
          <w:r>
            <w:tab/>
          </w:r>
          <w:r>
            <w:fldChar w:fldCharType="begin"/>
          </w:r>
          <w:r>
            <w:instrText xml:space="preserve"> PAGEREF _Toc15384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_Toc10341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（二） 全省年报管理</w:t>
          </w:r>
          <w:r>
            <w:tab/>
          </w:r>
          <w:r>
            <w:fldChar w:fldCharType="begin"/>
          </w:r>
          <w:r>
            <w:instrText xml:space="preserve"> PAGEREF _Toc10341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_Toc7595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查询年报</w:t>
          </w:r>
          <w:r>
            <w:tab/>
          </w:r>
          <w:r>
            <w:fldChar w:fldCharType="begin"/>
          </w:r>
          <w:r>
            <w:instrText xml:space="preserve"> PAGEREF _Toc7595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_Toc16898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查看年报</w:t>
          </w:r>
          <w:r>
            <w:tab/>
          </w:r>
          <w:r>
            <w:fldChar w:fldCharType="begin"/>
          </w:r>
          <w:r>
            <w:instrText xml:space="preserve"> PAGEREF _Toc16898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_Toc28786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下载年报</w:t>
          </w:r>
          <w:r>
            <w:tab/>
          </w:r>
          <w:r>
            <w:fldChar w:fldCharType="begin"/>
          </w:r>
          <w:r>
            <w:instrText xml:space="preserve"> PAGEREF _Toc28786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_Toc23286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打印年报</w:t>
          </w:r>
          <w:r>
            <w:tab/>
          </w:r>
          <w:r>
            <w:fldChar w:fldCharType="begin"/>
          </w:r>
          <w:r>
            <w:instrText xml:space="preserve"> PAGEREF _Toc23286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_Toc8545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导出表格</w:t>
          </w:r>
          <w:r>
            <w:tab/>
          </w:r>
          <w:r>
            <w:fldChar w:fldCharType="begin"/>
          </w:r>
          <w:r>
            <w:instrText xml:space="preserve"> PAGEREF _Toc8545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_Toc17900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全部下载</w:t>
          </w:r>
          <w:r>
            <w:tab/>
          </w:r>
          <w:r>
            <w:fldChar w:fldCharType="begin"/>
          </w:r>
          <w:r>
            <w:instrText xml:space="preserve"> PAGEREF _Toc17900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15"/>
        <w:ind w:firstLine="0" w:firstLineChars="0"/>
        <w:jc w:val="both"/>
        <w:rPr>
          <w:rFonts w:hint="eastAsia" w:ascii="宋体" w:hAnsi="宋体"/>
          <w:color w:val="000000"/>
          <w:sz w:val="72"/>
          <w:szCs w:val="72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ind w:firstLine="640" w:firstLineChars="200"/>
        <w:rPr>
          <w:rFonts w:hint="eastAsia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bidi w:val="0"/>
        <w:ind w:firstLine="0" w:firstLineChars="0"/>
        <w:rPr>
          <w:rFonts w:hint="eastAsia"/>
          <w:lang w:val="en-US" w:eastAsia="zh-CN"/>
        </w:rPr>
      </w:pPr>
      <w:bookmarkStart w:id="2" w:name="_Toc12038"/>
      <w:bookmarkStart w:id="3" w:name="_Toc17386"/>
      <w:bookmarkStart w:id="4" w:name="_Toc6345"/>
      <w:bookmarkStart w:id="5" w:name="_Toc5827"/>
      <w:bookmarkStart w:id="6" w:name="_Toc9670"/>
      <w:bookmarkStart w:id="7" w:name="_Toc19823"/>
      <w:bookmarkStart w:id="8" w:name="_Toc18766"/>
      <w:bookmarkStart w:id="9" w:name="_Toc1374"/>
      <w:bookmarkStart w:id="10" w:name="_Toc7455"/>
      <w:r>
        <w:rPr>
          <w:rFonts w:hint="eastAsia"/>
          <w:lang w:val="en-US" w:eastAsia="zh-CN"/>
        </w:rPr>
        <w:t>年报平台入口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>
      <w:pPr>
        <w:numPr>
          <w:ilvl w:val="0"/>
          <w:numId w:val="4"/>
        </w:numPr>
        <w:bidi w:val="0"/>
        <w:ind w:left="425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使用电脑端浏览器，输入国家公共文化云网址：</w:t>
      </w:r>
      <w:r>
        <w:rPr>
          <w:rFonts w:hint="default"/>
          <w:lang w:val="en-US" w:eastAsia="zh-CN"/>
        </w:rPr>
        <w:t>https://www.culturedc.cn</w:t>
      </w:r>
      <w:r>
        <w:rPr>
          <w:rFonts w:hint="eastAsia"/>
          <w:lang w:val="en-US" w:eastAsia="zh-CN"/>
        </w:rPr>
        <w:t>，</w:t>
      </w:r>
    </w:p>
    <w:p>
      <w:pPr>
        <w:numPr>
          <w:ilvl w:val="-1"/>
          <w:numId w:val="0"/>
        </w:numPr>
        <w:bidi w:val="0"/>
        <w:ind w:left="398" w:leftChars="166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在导航栏选择“聚行业”栏目，点击“年报平台”，进入全国文化馆年报展示平台（简称“年报平台”）。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或直接输入年报平台网址：</w:t>
      </w:r>
      <w:r>
        <w:rPr>
          <w:rStyle w:val="14"/>
          <w:rFonts w:hint="eastAsia"/>
          <w:color w:val="auto"/>
          <w:u w:val="none"/>
          <w:lang w:val="en-US" w:eastAsia="zh-CN"/>
        </w:rPr>
        <w:t>https://www.culturedc.cn/thematic/nbzs/index.html</w:t>
      </w:r>
      <w:r>
        <w:rPr>
          <w:rStyle w:val="14"/>
          <w:rFonts w:hint="eastAsia"/>
          <w:color w:val="auto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71120</wp:posOffset>
            </wp:positionV>
            <wp:extent cx="5266690" cy="1323340"/>
            <wp:effectExtent l="0" t="0" r="10160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bidi w:val="0"/>
        <w:ind w:firstLine="0" w:firstLineChars="0"/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入口</w:t>
      </w:r>
    </w:p>
    <w:p>
      <w:pPr>
        <w:numPr>
          <w:ilvl w:val="0"/>
          <w:numId w:val="4"/>
        </w:numPr>
        <w:bidi w:val="0"/>
        <w:ind w:left="425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用户未登录情况下即可查看全国文化馆年报展示信息，包括年报查询、年报编制、帮助中心等栏目。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7960" cy="4394200"/>
            <wp:effectExtent l="0" t="0" r="889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年报平台主页</w:t>
      </w:r>
    </w:p>
    <w:p>
      <w:pPr>
        <w:pStyle w:val="2"/>
        <w:rPr>
          <w:rFonts w:hint="default"/>
          <w:lang w:val="en-US" w:eastAsia="zh-CN"/>
        </w:rPr>
      </w:pPr>
      <w:bookmarkStart w:id="11" w:name="_Toc15955"/>
      <w:bookmarkStart w:id="12" w:name="_Toc26709"/>
      <w:bookmarkStart w:id="13" w:name="_Toc32341"/>
      <w:bookmarkStart w:id="14" w:name="_Toc14978"/>
      <w:bookmarkStart w:id="15" w:name="_Toc30227"/>
      <w:bookmarkStart w:id="16" w:name="_Toc110"/>
      <w:bookmarkStart w:id="17" w:name="_Toc6369"/>
      <w:bookmarkStart w:id="18" w:name="_Toc15337"/>
      <w:bookmarkStart w:id="19" w:name="_Toc8228"/>
      <w:r>
        <w:rPr>
          <w:rFonts w:hint="eastAsia"/>
          <w:lang w:val="en-US" w:eastAsia="zh-CN"/>
        </w:rPr>
        <w:t>机构用户注册/登录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进入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年报平台</w:t>
      </w:r>
      <w:r>
        <w:rPr>
          <w:rFonts w:hint="eastAsia" w:asciiTheme="minorEastAsia" w:hAnsiTheme="minorEastAsia" w:eastAsiaTheme="minorEastAsia" w:cstheme="minorEastAsia"/>
          <w:lang w:eastAsia="zh-CN"/>
        </w:rPr>
        <w:t>主页，点击“机构用户注册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/登录</w:t>
      </w:r>
      <w:r>
        <w:rPr>
          <w:rFonts w:hint="eastAsia" w:asciiTheme="minorEastAsia" w:hAnsiTheme="minorEastAsia" w:eastAsiaTheme="minorEastAsia" w:cstheme="minorEastAsia"/>
          <w:lang w:eastAsia="zh-CN"/>
        </w:rPr>
        <w:t>”按钮，前往注册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登录</w:t>
      </w:r>
      <w:r>
        <w:rPr>
          <w:rFonts w:hint="eastAsia" w:asciiTheme="minorEastAsia" w:hAnsiTheme="minorEastAsia" w:eastAsiaTheme="minorEastAsia" w:cstheme="minorEastAsia"/>
          <w:lang w:eastAsia="zh-CN"/>
        </w:rPr>
        <w:t>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6690" cy="4379595"/>
            <wp:effectExtent l="0" t="0" r="1016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 w:ascii="宋体" w:hAnsi="宋体" w:cs="宋体"/>
          <w:sz w:val="18"/>
          <w:szCs w:val="18"/>
          <w:lang w:val="en-US" w:eastAsia="zh-CN"/>
        </w:rPr>
      </w:pPr>
      <w:r>
        <w:rPr>
          <w:rFonts w:hint="eastAsia" w:ascii="宋体" w:hAnsi="宋体" w:cs="宋体"/>
          <w:sz w:val="18"/>
          <w:szCs w:val="18"/>
          <w:lang w:val="en-US" w:eastAsia="zh-CN"/>
        </w:rPr>
        <w:t>年报平台主页</w:t>
      </w:r>
    </w:p>
    <w:p>
      <w:pPr>
        <w:pStyle w:val="16"/>
        <w:bidi w:val="0"/>
        <w:jc w:val="left"/>
        <w:rPr>
          <w:rFonts w:hint="eastAsia"/>
          <w:sz w:val="24"/>
          <w:szCs w:val="24"/>
          <w:highlight w:val="none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或点击国家公共文化云首页“登录|注册”，前往登录或注册页面。</w:t>
      </w:r>
    </w:p>
    <w:p>
      <w:pPr>
        <w:pStyle w:val="16"/>
        <w:bidi w:val="0"/>
        <w:ind w:firstLine="0" w:firstLineChars="0"/>
        <w:jc w:val="both"/>
        <w:rPr>
          <w:rFonts w:hint="eastAsia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5271770" cy="1592580"/>
            <wp:effectExtent l="0" t="0" r="5080" b="762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国家公共文化云首页</w:t>
      </w:r>
    </w:p>
    <w:p>
      <w:pPr>
        <w:pStyle w:val="16"/>
        <w:bidi w:val="0"/>
        <w:rPr>
          <w:rFonts w:hint="default"/>
          <w:sz w:val="18"/>
          <w:szCs w:val="18"/>
          <w:lang w:val="en-US" w:eastAsia="zh-CN"/>
        </w:rPr>
      </w:pPr>
    </w:p>
    <w:p>
      <w:pPr>
        <w:pStyle w:val="16"/>
        <w:bidi w:val="0"/>
        <w:rPr>
          <w:rFonts w:hint="eastAsia"/>
          <w:sz w:val="20"/>
          <w:szCs w:val="20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22269"/>
      <w:bookmarkStart w:id="21" w:name="_Toc28144"/>
      <w:bookmarkStart w:id="22" w:name="_Toc31536"/>
      <w:bookmarkStart w:id="23" w:name="_Toc26718"/>
      <w:bookmarkStart w:id="24" w:name="_Toc18307"/>
      <w:bookmarkStart w:id="25" w:name="_Toc31810"/>
      <w:bookmarkStart w:id="26" w:name="_Toc13387"/>
      <w:bookmarkStart w:id="27" w:name="_Toc23089"/>
      <w:bookmarkStart w:id="28" w:name="_Toc3780"/>
      <w:r>
        <w:rPr>
          <w:rFonts w:hint="eastAsia"/>
          <w:lang w:val="en-US" w:eastAsia="zh-CN"/>
        </w:rPr>
        <w:t>注册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numPr>
          <w:ilvl w:val="0"/>
          <w:numId w:val="5"/>
        </w:numPr>
        <w:bidi w:val="0"/>
        <w:spacing w:line="440" w:lineRule="exact"/>
        <w:ind w:left="0" w:hanging="425" w:firstLineChars="0"/>
        <w:jc w:val="left"/>
        <w:outlineLvl w:val="9"/>
        <w:rPr>
          <w:rFonts w:hint="eastAsia"/>
          <w:lang w:val="en-US"/>
        </w:rPr>
      </w:pPr>
      <w:r>
        <w:rPr>
          <w:rFonts w:hint="eastAsia"/>
          <w:lang w:val="en-US" w:eastAsia="zh-CN"/>
        </w:rPr>
        <w:t>未注册成为国家公共文化云机构用户的，点击登录注册页面的“机构用户注册”或“我是机构用户”按钮，前往注册页面。</w:t>
      </w:r>
    </w:p>
    <w:p>
      <w:pPr>
        <w:numPr>
          <w:ilvl w:val="-1"/>
          <w:numId w:val="0"/>
        </w:numPr>
        <w:spacing w:line="440" w:lineRule="exact"/>
        <w:ind w:left="0" w:firstLine="480" w:firstLineChars="200"/>
        <w:jc w:val="left"/>
        <w:outlineLvl w:val="9"/>
        <w:rPr>
          <w:rFonts w:hint="eastAsia" w:eastAsia="宋体" w:asciiTheme="minorAscii" w:hAnsiTheme="minorAscii" w:cstheme="minorBidi"/>
          <w:sz w:val="24"/>
          <w:szCs w:val="24"/>
          <w:shd w:val="clear"/>
        </w:rPr>
      </w:pPr>
      <w:r>
        <w:rPr>
          <w:rFonts w:hint="eastAsia"/>
          <w:lang w:val="en-US" w:eastAsia="zh-CN"/>
        </w:rPr>
        <w:t>注：已注册成为国家公共文化云机构用户的，跳过注册步骤，直接进行登录。</w:t>
      </w:r>
      <w:r>
        <w:rPr>
          <w:rFonts w:hint="eastAsia" w:eastAsia="宋体" w:asciiTheme="minorAscii" w:hAnsiTheme="minorAscii" w:cstheme="minorBidi"/>
          <w:sz w:val="24"/>
          <w:szCs w:val="24"/>
          <w:shd w:val="clear"/>
        </w:rPr>
        <w:t>每个单位注册一个国家公共文化云机构</w:t>
      </w:r>
      <w:r>
        <w:rPr>
          <w:rFonts w:hint="eastAsia" w:eastAsia="宋体" w:asciiTheme="minorAscii" w:hAnsiTheme="minorAscii" w:cstheme="minorBidi"/>
          <w:sz w:val="24"/>
          <w:szCs w:val="24"/>
          <w:shd w:val="clear"/>
          <w:lang w:val="en-US" w:eastAsia="zh-CN"/>
        </w:rPr>
        <w:t>用户</w:t>
      </w:r>
      <w:r>
        <w:rPr>
          <w:rFonts w:hint="eastAsia" w:eastAsia="宋体" w:asciiTheme="minorAscii" w:hAnsiTheme="minorAscii" w:cstheme="minorBidi"/>
          <w:sz w:val="24"/>
          <w:szCs w:val="24"/>
          <w:shd w:val="clear"/>
        </w:rPr>
        <w:t>，已注册过的使用原账号，请勿重复注册。</w:t>
      </w:r>
      <w:r>
        <w:rPr>
          <w:rFonts w:hint="eastAsia" w:cstheme="minorBidi"/>
          <w:sz w:val="24"/>
          <w:szCs w:val="24"/>
          <w:shd w:val="clear"/>
          <w:lang w:val="en-US" w:eastAsia="zh-CN"/>
        </w:rPr>
        <w:t>忘记密码需要重置的，请联系</w:t>
      </w:r>
      <w:r>
        <w:rPr>
          <w:rFonts w:hint="eastAsia" w:eastAsia="宋体" w:asciiTheme="minorAscii" w:hAnsiTheme="minorAscii" w:cstheme="minorBidi"/>
          <w:b w:val="0"/>
          <w:bCs w:val="0"/>
          <w:w w:val="100"/>
          <w:sz w:val="24"/>
          <w:szCs w:val="24"/>
          <w:shd w:val="clear"/>
        </w:rPr>
        <w:t>国家公共文化云技术支持</w:t>
      </w:r>
      <w:r>
        <w:rPr>
          <w:rFonts w:hint="eastAsia" w:eastAsia="宋体" w:asciiTheme="minorAscii" w:hAnsiTheme="minorAscii" w:cstheme="minorBidi"/>
          <w:sz w:val="24"/>
          <w:szCs w:val="24"/>
          <w:shd w:val="clear"/>
        </w:rPr>
        <w:t>电话400-0596-087</w:t>
      </w:r>
      <w:r>
        <w:rPr>
          <w:rFonts w:hint="eastAsia" w:cstheme="minorBidi"/>
          <w:sz w:val="24"/>
          <w:szCs w:val="24"/>
          <w:shd w:val="clear"/>
          <w:lang w:eastAsia="zh-CN"/>
        </w:rPr>
        <w:t>。</w:t>
      </w:r>
    </w:p>
    <w:p>
      <w:pPr>
        <w:numPr>
          <w:ilvl w:val="-1"/>
          <w:numId w:val="0"/>
        </w:numPr>
        <w:bidi w:val="0"/>
        <w:spacing w:line="240" w:lineRule="auto"/>
        <w:ind w:left="0" w:firstLine="0" w:firstLineChars="0"/>
        <w:jc w:val="left"/>
        <w:outlineLvl w:val="9"/>
        <w:rPr>
          <w:rFonts w:hint="eastAsia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179070</wp:posOffset>
            </wp:positionV>
            <wp:extent cx="2292985" cy="3519170"/>
            <wp:effectExtent l="0" t="0" r="12065" b="5080"/>
            <wp:wrapNone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274320</wp:posOffset>
            </wp:positionV>
            <wp:extent cx="2307590" cy="1910080"/>
            <wp:effectExtent l="0" t="0" r="16510" b="13970"/>
            <wp:wrapNone/>
            <wp:docPr id="24" name="图片 24" descr="170417973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41797322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123825</wp:posOffset>
            </wp:positionV>
            <wp:extent cx="2540000" cy="1092200"/>
            <wp:effectExtent l="0" t="0" r="12700" b="12700"/>
            <wp:wrapNone/>
            <wp:docPr id="25" name="图片 25" descr="1704179756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41797568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</w:p>
    <w:p>
      <w:pPr>
        <w:pStyle w:val="16"/>
        <w:bidi w:val="0"/>
        <w:ind w:firstLine="1080" w:firstLineChars="600"/>
        <w:jc w:val="left"/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注册途径1                                           注册途径2</w:t>
      </w:r>
    </w:p>
    <w:p>
      <w:pPr>
        <w:numPr>
          <w:ilvl w:val="0"/>
          <w:numId w:val="5"/>
        </w:numPr>
        <w:bidi w:val="0"/>
        <w:ind w:left="425" w:hanging="425" w:firstLineChars="0"/>
        <w:outlineLvl w:val="9"/>
        <w:rPr>
          <w:rFonts w:hint="eastAsia"/>
          <w:lang w:val="en-US"/>
        </w:rPr>
      </w:pPr>
      <w:bookmarkStart w:id="29" w:name="_Toc30683"/>
      <w:bookmarkStart w:id="30" w:name="_Toc5733"/>
      <w:bookmarkStart w:id="31" w:name="_Toc17688"/>
      <w:r>
        <w:rPr>
          <w:rFonts w:hint="eastAsia"/>
          <w:lang w:val="en-US" w:eastAsia="zh-CN"/>
        </w:rPr>
        <w:t>在注册页面填写用户信息后，点击下一步。</w:t>
      </w:r>
      <w:bookmarkEnd w:id="29"/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7325" cy="4241165"/>
            <wp:effectExtent l="0" t="0" r="9525" b="6985"/>
            <wp:docPr id="6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360" w:leftChars="0" w:firstLine="420" w:firstLineChars="0"/>
        <w:jc w:val="both"/>
        <w:rPr>
          <w:rFonts w:hint="eastAsia" w:eastAsia="黑体"/>
          <w:lang w:val="en-US" w:eastAsia="zh-CN"/>
        </w:rPr>
      </w:pPr>
      <w:r>
        <w:rPr>
          <w:rFonts w:hint="eastAsia"/>
          <w:lang w:val="en-US" w:eastAsia="zh-CN"/>
        </w:rPr>
        <w:t xml:space="preserve"> 用户注册</w:t>
      </w:r>
    </w:p>
    <w:p>
      <w:pPr>
        <w:numPr>
          <w:ilvl w:val="0"/>
          <w:numId w:val="5"/>
        </w:numPr>
        <w:bidi w:val="0"/>
        <w:ind w:left="425" w:hanging="425" w:firstLineChars="0"/>
        <w:outlineLvl w:val="9"/>
        <w:rPr>
          <w:rFonts w:hint="default"/>
          <w:lang w:val="en-US" w:eastAsia="zh-CN"/>
        </w:rPr>
      </w:pPr>
      <w:bookmarkStart w:id="32" w:name="_Toc27912"/>
      <w:bookmarkStart w:id="33" w:name="_Toc24596"/>
      <w:bookmarkStart w:id="34" w:name="_Toc13591"/>
      <w:r>
        <w:rPr>
          <w:rFonts w:hint="eastAsia"/>
          <w:lang w:val="en-US" w:eastAsia="zh-CN"/>
        </w:rPr>
        <w:t>在设置密码页填写确认密码后，点击确认</w:t>
      </w:r>
      <w:bookmarkEnd w:id="32"/>
      <w:bookmarkEnd w:id="33"/>
      <w:bookmarkEnd w:id="34"/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0975" cy="2792730"/>
            <wp:effectExtent l="0" t="0" r="1587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确认密码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5" w:name="_Toc5368"/>
      <w:bookmarkStart w:id="36" w:name="_Toc19441"/>
      <w:bookmarkStart w:id="37" w:name="_Toc14090"/>
      <w:bookmarkStart w:id="38" w:name="_Toc26611"/>
      <w:bookmarkStart w:id="39" w:name="_Toc31072"/>
      <w:bookmarkStart w:id="40" w:name="_Toc22324"/>
      <w:bookmarkStart w:id="41" w:name="_Toc24062"/>
      <w:bookmarkStart w:id="42" w:name="_Toc3942"/>
      <w:bookmarkStart w:id="43" w:name="_Toc24151"/>
      <w:r>
        <w:rPr>
          <w:rFonts w:hint="eastAsia"/>
          <w:lang w:val="en-US" w:eastAsia="zh-CN"/>
        </w:rPr>
        <w:t>认证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>
      <w:pPr>
        <w:numPr>
          <w:ilvl w:val="0"/>
          <w:numId w:val="6"/>
        </w:numPr>
        <w:bidi w:val="0"/>
        <w:ind w:left="425" w:hanging="425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在注册成功页面点击“立即认证”按钮，前往认证页面。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9865" cy="3763645"/>
            <wp:effectExtent l="0" t="0" r="6985" b="825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注册成功</w:t>
      </w:r>
    </w:p>
    <w:p>
      <w:pPr>
        <w:numPr>
          <w:ilvl w:val="0"/>
          <w:numId w:val="6"/>
        </w:numPr>
        <w:bidi w:val="0"/>
        <w:ind w:left="425" w:hanging="425" w:firstLineChars="0"/>
        <w:rPr>
          <w:rFonts w:hint="default"/>
          <w:lang w:val="en-US" w:eastAsia="zh-CN"/>
        </w:rPr>
      </w:pPr>
      <w:bookmarkStart w:id="44" w:name="_Toc2018"/>
      <w:bookmarkStart w:id="45" w:name="_Toc29662"/>
      <w:bookmarkStart w:id="46" w:name="_Toc14159"/>
      <w:r>
        <w:rPr>
          <w:rFonts w:hint="eastAsia"/>
          <w:lang w:val="en-US" w:eastAsia="zh-CN"/>
        </w:rPr>
        <w:t>在认证页面填写并上传相关信息（包括法人证书、授权书、身份证等）后，点击提交审核。</w:t>
      </w:r>
      <w:bookmarkEnd w:id="44"/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8595" cy="3603625"/>
            <wp:effectExtent l="0" t="0" r="8255" b="1587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资质认证提交审核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bidi w:val="0"/>
        <w:ind w:left="425" w:hanging="425" w:firstLineChars="0"/>
        <w:rPr>
          <w:rFonts w:hint="eastAsia"/>
          <w:lang w:val="en-US"/>
        </w:rPr>
      </w:pPr>
      <w:r>
        <w:rPr>
          <w:rFonts w:hint="eastAsia"/>
          <w:lang w:val="en-US" w:eastAsia="zh-CN"/>
        </w:rPr>
        <w:t>提交后等待后台人员审核，一般审核时间为2-3个工作日。注意：首次注册机构用户需在系统完成资质认证审核后才能进入管理后台。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7960" cy="3220085"/>
            <wp:effectExtent l="0" t="0" r="8890" b="1841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</w:pPr>
      <w:r>
        <w:rPr>
          <w:rFonts w:hint="eastAsia"/>
          <w:lang w:val="en-US" w:eastAsia="zh-CN"/>
        </w:rPr>
        <w:t>等待审核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47" w:name="_Toc11056"/>
      <w:bookmarkStart w:id="48" w:name="_Toc3441"/>
      <w:bookmarkStart w:id="49" w:name="_Toc32179"/>
      <w:bookmarkStart w:id="50" w:name="_Toc25472"/>
      <w:bookmarkStart w:id="51" w:name="_Toc21840"/>
      <w:bookmarkStart w:id="52" w:name="_Toc25083"/>
      <w:bookmarkStart w:id="53" w:name="_Toc29246"/>
      <w:bookmarkStart w:id="54" w:name="_Toc13371"/>
      <w:bookmarkStart w:id="55" w:name="_Toc16900"/>
      <w:r>
        <w:rPr>
          <w:rFonts w:hint="eastAsia"/>
          <w:lang w:val="en-US" w:eastAsia="zh-CN"/>
        </w:rPr>
        <w:t>登录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已注册国家公共文化云机构用户的，在登录界面输入机构用户登录名、登录密码、手机号、图形验证码、手机验证码后，点击登录按钮。</w:t>
      </w:r>
      <w:r>
        <w:rPr>
          <w:rFonts w:hint="eastAsia"/>
          <w:lang w:eastAsia="zh-CN"/>
        </w:rPr>
        <w:t>登录成功</w:t>
      </w:r>
      <w:r>
        <w:rPr>
          <w:rFonts w:hint="eastAsia"/>
          <w:lang w:val="en-US" w:eastAsia="zh-CN"/>
        </w:rPr>
        <w:t>进入机构用户管理后台。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eastAsia="宋体" w:asciiTheme="minorAscii" w:hAnsiTheme="minorAscii" w:cstheme="minorBidi"/>
          <w:sz w:val="24"/>
          <w:szCs w:val="24"/>
          <w:shd w:val="clear"/>
        </w:rPr>
        <w:t>每个单位注册一个国家公共文化云机构</w:t>
      </w:r>
      <w:r>
        <w:rPr>
          <w:rFonts w:hint="eastAsia" w:eastAsia="宋体" w:asciiTheme="minorAscii" w:hAnsiTheme="minorAscii" w:cstheme="minorBidi"/>
          <w:sz w:val="24"/>
          <w:szCs w:val="24"/>
          <w:shd w:val="clear"/>
          <w:lang w:val="en-US" w:eastAsia="zh-CN"/>
        </w:rPr>
        <w:t>用户</w:t>
      </w:r>
      <w:r>
        <w:rPr>
          <w:rFonts w:hint="eastAsia" w:eastAsia="宋体" w:asciiTheme="minorAscii" w:hAnsiTheme="minorAscii" w:cstheme="minorBidi"/>
          <w:sz w:val="24"/>
          <w:szCs w:val="24"/>
          <w:shd w:val="clear"/>
        </w:rPr>
        <w:t>，已注册过的使用原账号，请勿重复注册。</w:t>
      </w:r>
      <w:r>
        <w:rPr>
          <w:rFonts w:hint="eastAsia" w:cstheme="minorBidi"/>
          <w:sz w:val="24"/>
          <w:szCs w:val="24"/>
          <w:shd w:val="clear"/>
          <w:lang w:val="en-US" w:eastAsia="zh-CN"/>
        </w:rPr>
        <w:t>忘记密码需要重置的，请联系</w:t>
      </w:r>
      <w:r>
        <w:rPr>
          <w:rFonts w:hint="eastAsia" w:eastAsia="宋体" w:asciiTheme="minorAscii" w:hAnsiTheme="minorAscii" w:cstheme="minorBidi"/>
          <w:b w:val="0"/>
          <w:bCs w:val="0"/>
          <w:w w:val="100"/>
          <w:sz w:val="24"/>
          <w:szCs w:val="24"/>
          <w:shd w:val="clear"/>
        </w:rPr>
        <w:t>国家公共文化云技术支持</w:t>
      </w:r>
      <w:r>
        <w:rPr>
          <w:rFonts w:hint="eastAsia" w:eastAsia="宋体" w:asciiTheme="minorAscii" w:hAnsiTheme="minorAscii" w:cstheme="minorBidi"/>
          <w:sz w:val="24"/>
          <w:szCs w:val="24"/>
          <w:shd w:val="clear"/>
        </w:rPr>
        <w:t>电话400-0596-087</w:t>
      </w:r>
      <w:r>
        <w:rPr>
          <w:rFonts w:hint="eastAsia" w:cstheme="minorBidi"/>
          <w:sz w:val="24"/>
          <w:szCs w:val="24"/>
          <w:shd w:val="clear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4150" cy="2792730"/>
            <wp:effectExtent l="0" t="0" r="1270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</w:pPr>
      <w:r>
        <w:rPr>
          <w:rFonts w:hint="eastAsia"/>
          <w:lang w:val="en-US" w:eastAsia="zh-CN"/>
        </w:rPr>
        <w:t>登录页面</w:t>
      </w:r>
    </w:p>
    <w:p>
      <w:pPr>
        <w:rPr>
          <w:rFonts w:hint="default"/>
          <w:lang w:val="en-US" w:eastAsia="zh-CN"/>
        </w:rPr>
      </w:pPr>
      <w:bookmarkStart w:id="56" w:name="_Toc10818"/>
      <w:bookmarkStart w:id="57" w:name="_Toc25604"/>
      <w:bookmarkStart w:id="58" w:name="_Toc15141"/>
      <w:bookmarkStart w:id="59" w:name="_Toc24521"/>
      <w:bookmarkStart w:id="60" w:name="_Toc5061"/>
      <w:bookmarkStart w:id="61" w:name="_Toc23044"/>
      <w:bookmarkStart w:id="62" w:name="_Toc2238"/>
      <w:bookmarkStart w:id="63" w:name="_Toc31611"/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default"/>
          <w:lang w:val="en-US" w:eastAsia="zh-CN"/>
        </w:rPr>
      </w:pPr>
      <w:bookmarkStart w:id="64" w:name="_Toc10299"/>
      <w:r>
        <w:rPr>
          <w:rFonts w:hint="eastAsia"/>
          <w:lang w:val="en-US" w:eastAsia="zh-CN"/>
        </w:rPr>
        <w:t>年报管理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点击管理</w:t>
      </w:r>
      <w:r>
        <w:rPr>
          <w:rFonts w:hint="eastAsia"/>
          <w:highlight w:val="none"/>
          <w:lang w:val="en-US" w:eastAsia="zh-CN"/>
        </w:rPr>
        <w:t>后台顶部“进入主页”按钮，进入</w:t>
      </w:r>
      <w:r>
        <w:rPr>
          <w:rFonts w:hint="eastAsia"/>
          <w:lang w:val="en-US" w:eastAsia="zh-CN"/>
        </w:rPr>
        <w:t>管理界面主页。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8890</wp:posOffset>
                </wp:positionV>
                <wp:extent cx="495300" cy="285750"/>
                <wp:effectExtent l="9525" t="9525" r="9525" b="952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5190" y="6871970"/>
                          <a:ext cx="4953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9.7pt;margin-top:0.7pt;height:22.5pt;width:39pt;z-index:251659264;v-text-anchor:middle;mso-width-relative:page;mso-height-relative:page;" filled="f" stroked="t" coordsize="21600,21600" o:gfxdata="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4/j6C1wAAAAgBAAAPAAAAAAAAAAEAIAAAACIAAABkcnMv&#10;ZG93bnJldi54bWxQSwECFAAUAAAACACHTuJA7okua3YCAADYBAAADgAAAAAAAAABACAAAAAmAQAA&#10;ZHJzL2Uyb0RvYy54bWxQSwUGAAAAAAYABgBZAQAADg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552700"/>
            <wp:effectExtent l="0" t="0" r="5080" b="0"/>
            <wp:docPr id="13" name="图片 13" descr="9d416a87b0a4f3a221cd591c8e70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d416a87b0a4f3a221cd591c8e709c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bidi w:val="0"/>
        <w:ind w:firstLine="0"/>
        <w:rPr>
          <w:rFonts w:hint="eastAsia"/>
          <w:lang w:val="en-US" w:eastAsia="zh-CN"/>
        </w:rPr>
      </w:pPr>
      <w:bookmarkStart w:id="65" w:name="_Toc27895"/>
      <w:bookmarkStart w:id="66" w:name="_Toc31621"/>
      <w:bookmarkStart w:id="67" w:name="_Toc8009"/>
      <w:bookmarkStart w:id="68" w:name="_Toc25042"/>
      <w:bookmarkStart w:id="69" w:name="_Toc7172"/>
      <w:bookmarkStart w:id="70" w:name="_Toc15187"/>
      <w:bookmarkStart w:id="71" w:name="_Toc9836"/>
      <w:bookmarkStart w:id="72" w:name="_Toc7149"/>
      <w:bookmarkStart w:id="73" w:name="_Toc20191"/>
      <w:r>
        <w:rPr>
          <w:rFonts w:hint="eastAsia"/>
          <w:lang w:val="en-US" w:eastAsia="zh-CN"/>
        </w:rPr>
        <w:t>本单位年报管理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点击资源管理，选择年报管理下的“本单位年报管理”菜单，可进行本单位年报的新建、查看、编辑、删除、下载和打印。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2245" cy="2564130"/>
            <wp:effectExtent l="0" t="0" r="14605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本单位年报管理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74" w:name="_Toc20124"/>
      <w:bookmarkStart w:id="75" w:name="_Toc2222"/>
      <w:bookmarkStart w:id="76" w:name="_Toc7142"/>
      <w:bookmarkStart w:id="77" w:name="_Toc4520"/>
      <w:bookmarkStart w:id="78" w:name="_Toc20794"/>
      <w:bookmarkStart w:id="79" w:name="_Toc15376"/>
      <w:bookmarkStart w:id="80" w:name="_Toc8108"/>
      <w:bookmarkStart w:id="81" w:name="_Toc5260"/>
      <w:bookmarkStart w:id="82" w:name="_Toc32388"/>
      <w:r>
        <w:rPr>
          <w:rFonts w:hint="eastAsia"/>
          <w:lang w:val="en-US" w:eastAsia="zh-CN"/>
        </w:rPr>
        <w:t>新建年报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>
      <w:pPr>
        <w:numPr>
          <w:ilvl w:val="0"/>
          <w:numId w:val="8"/>
        </w:numPr>
        <w:bidi w:val="0"/>
        <w:ind w:left="425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点击新建年报按钮，进入新建年报页面。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8595" cy="1058545"/>
            <wp:effectExtent l="0" t="0" r="8255" b="825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新建</w:t>
      </w:r>
    </w:p>
    <w:p>
      <w:pPr>
        <w:numPr>
          <w:ilvl w:val="0"/>
          <w:numId w:val="8"/>
        </w:numPr>
        <w:ind w:left="425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在页面按照要求填写年报基本信息、管理信息、联系信息，上传PDF格式电子年报，勾选“</w:t>
      </w:r>
      <w:r>
        <w:t>同意通过国家公共文化云</w:t>
      </w:r>
      <w:r>
        <w:rPr>
          <w:rFonts w:hint="eastAsia"/>
          <w:lang w:eastAsia="zh-CN"/>
        </w:rPr>
        <w:t>‘</w:t>
      </w:r>
      <w:r>
        <w:t>全国文化馆年报展示平台</w:t>
      </w:r>
      <w:r>
        <w:rPr>
          <w:rFonts w:hint="eastAsia"/>
          <w:lang w:eastAsia="zh-CN"/>
        </w:rPr>
        <w:t>’</w:t>
      </w:r>
      <w:r>
        <w:t>展示本单位年报</w:t>
      </w:r>
      <w:r>
        <w:rPr>
          <w:rFonts w:hint="eastAsia"/>
          <w:lang w:val="en-US" w:eastAsia="zh-CN"/>
        </w:rPr>
        <w:t>”。填写完成后点击提交发布按钮，提交年报。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注意：标*为必填项。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70500" cy="1557020"/>
            <wp:effectExtent l="0" t="0" r="6350" b="50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rcRect l="12" t="-139" r="-1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2245" cy="2708910"/>
            <wp:effectExtent l="0" t="0" r="14605" b="152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新建年报页面</w:t>
      </w:r>
    </w:p>
    <w:p>
      <w:pPr>
        <w:numPr>
          <w:ilvl w:val="0"/>
          <w:numId w:val="8"/>
        </w:numPr>
        <w:bidi w:val="0"/>
        <w:ind w:left="425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提交后，提示：是否直接打印《年报基本信息表》？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98" w:leftChars="166" w:firstLine="0" w:firstLineChars="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如选“否”，则暂不打印。后期如需打印，点击列表页面打印按钮，具体见“打印年报”一节。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410075" cy="2617470"/>
            <wp:effectExtent l="0" t="0" r="9525" b="11430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打印提示</w:t>
      </w:r>
    </w:p>
    <w:p>
      <w:pPr>
        <w:numPr>
          <w:ilvl w:val="-1"/>
          <w:numId w:val="0"/>
        </w:numPr>
        <w:bidi w:val="0"/>
        <w:ind w:left="398" w:leftChars="166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如选“是”，则弹出预览界面，确认信息无误后，点击页面右上角打印按钮直接打印。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56530" cy="2068830"/>
            <wp:effectExtent l="0" t="0" r="1270" b="7620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打印预览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83" w:name="_Toc8157"/>
      <w:bookmarkStart w:id="84" w:name="_Toc4200"/>
      <w:bookmarkStart w:id="85" w:name="_Toc18619"/>
      <w:bookmarkStart w:id="86" w:name="_Toc22030"/>
      <w:bookmarkStart w:id="87" w:name="_Toc31315"/>
      <w:bookmarkStart w:id="88" w:name="_Toc21420"/>
      <w:bookmarkStart w:id="89" w:name="_Toc8917"/>
      <w:bookmarkStart w:id="90" w:name="_Toc5891"/>
      <w:bookmarkStart w:id="91" w:name="_Toc3835"/>
      <w:bookmarkStart w:id="181" w:name="_GoBack"/>
      <w:bookmarkEnd w:id="181"/>
      <w:r>
        <w:rPr>
          <w:rFonts w:hint="eastAsia"/>
          <w:lang w:val="en-US" w:eastAsia="zh-CN"/>
        </w:rPr>
        <w:t>查看年报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点击列表页面查看按钮，可对年报信息进行查看。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70500" cy="1167765"/>
            <wp:effectExtent l="0" t="0" r="6350" b="13335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92" w:name="_Toc32602"/>
      <w:bookmarkStart w:id="93" w:name="_Toc13876"/>
      <w:bookmarkStart w:id="94" w:name="_Toc14020"/>
      <w:bookmarkStart w:id="95" w:name="_Toc2663"/>
      <w:bookmarkStart w:id="96" w:name="_Toc31041"/>
      <w:bookmarkStart w:id="97" w:name="_Toc12926"/>
      <w:bookmarkStart w:id="98" w:name="_Toc26526"/>
      <w:bookmarkStart w:id="99" w:name="_Toc20557"/>
      <w:bookmarkStart w:id="100" w:name="_Toc31741"/>
      <w:r>
        <w:rPr>
          <w:rFonts w:hint="eastAsia"/>
          <w:lang w:val="en-US" w:eastAsia="zh-CN"/>
        </w:rPr>
        <w:t>编辑年报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点击列表页面编辑按钮，可对年报信息进行编辑。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7325" cy="1259205"/>
            <wp:effectExtent l="0" t="0" r="9525" b="17145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01" w:name="_Toc28747"/>
      <w:bookmarkStart w:id="102" w:name="_Toc5878"/>
      <w:bookmarkStart w:id="103" w:name="_Toc19986"/>
      <w:bookmarkStart w:id="104" w:name="_Toc18052"/>
      <w:bookmarkStart w:id="105" w:name="_Toc22807"/>
      <w:bookmarkStart w:id="106" w:name="_Toc13406"/>
      <w:bookmarkStart w:id="107" w:name="_Toc7048"/>
      <w:bookmarkStart w:id="108" w:name="_Toc6816"/>
      <w:bookmarkStart w:id="109" w:name="_Toc11781"/>
      <w:r>
        <w:rPr>
          <w:rFonts w:hint="eastAsia"/>
          <w:lang w:val="en-US" w:eastAsia="zh-CN"/>
        </w:rPr>
        <w:t>删除年报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点击列表页面删除按钮。在弹窗页面中点击删除确认按钮后，完成对年报的删除。年报一经删除无法恢复，须谨慎操作。</w:t>
      </w:r>
    </w:p>
    <w:p>
      <w:pPr>
        <w:pStyle w:val="16"/>
        <w:bidi w:val="0"/>
        <w:ind w:firstLine="0" w:firstLineChars="0"/>
        <w:jc w:val="both"/>
      </w:pPr>
      <w:r>
        <w:drawing>
          <wp:inline distT="0" distB="0" distL="114300" distR="114300">
            <wp:extent cx="5271135" cy="1708150"/>
            <wp:effectExtent l="0" t="0" r="5715" b="635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删除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10" w:name="_Toc10162"/>
      <w:bookmarkStart w:id="111" w:name="_Toc8006"/>
      <w:bookmarkStart w:id="112" w:name="_Toc16670"/>
      <w:bookmarkStart w:id="113" w:name="_Toc9825"/>
      <w:bookmarkStart w:id="114" w:name="_Toc4622"/>
      <w:bookmarkStart w:id="115" w:name="_Toc29479"/>
      <w:bookmarkStart w:id="116" w:name="_Toc15232"/>
      <w:bookmarkStart w:id="117" w:name="_Toc18456"/>
      <w:bookmarkStart w:id="118" w:name="_Toc19847"/>
      <w:r>
        <w:rPr>
          <w:rFonts w:hint="eastAsia"/>
          <w:lang w:val="en-US" w:eastAsia="zh-CN"/>
        </w:rPr>
        <w:t>下载年报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点击列表页面下载按钮，可下载PDF电子年报文件。年报文件名自动更新为：年报ID_年报标题.pdf。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128905</wp:posOffset>
            </wp:positionV>
            <wp:extent cx="4728210" cy="1133475"/>
            <wp:effectExtent l="0" t="0" r="15240" b="9525"/>
            <wp:wrapNone/>
            <wp:docPr id="19" name="图片 19" descr="WPS图片编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PS图片编辑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</w:t>
      </w:r>
    </w:p>
    <w:p>
      <w:pPr>
        <w:pStyle w:val="16"/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269230" cy="824865"/>
            <wp:effectExtent l="0" t="0" r="7620" b="133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下载后的年报文件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19" w:name="_Toc9971"/>
      <w:bookmarkStart w:id="120" w:name="_Toc903"/>
      <w:bookmarkStart w:id="121" w:name="_Toc16758"/>
      <w:bookmarkStart w:id="122" w:name="_Toc17434"/>
      <w:bookmarkStart w:id="123" w:name="_Toc18237"/>
      <w:bookmarkStart w:id="124" w:name="_Toc15384"/>
      <w:bookmarkStart w:id="125" w:name="_Toc25984"/>
      <w:bookmarkStart w:id="126" w:name="_Toc25292"/>
      <w:bookmarkStart w:id="127" w:name="_Toc27132"/>
      <w:r>
        <w:rPr>
          <w:rFonts w:hint="eastAsia"/>
          <w:lang w:val="en-US" w:eastAsia="zh-CN"/>
        </w:rPr>
        <w:t>打印年报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点击列表页面打印按钮，可打印《年报基本信息表》。提交年报时未直接打印《年报基本信息表》的，可通过此功能打印。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59705" cy="1276350"/>
            <wp:effectExtent l="0" t="0" r="17145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在打开的信息预览界面确认无误后连接打印机进行打印。</w:t>
      </w:r>
    </w:p>
    <w:p>
      <w:pPr>
        <w:pStyle w:val="16"/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260975" cy="2480945"/>
            <wp:effectExtent l="0" t="0" r="15875" b="14605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预览</w:t>
      </w:r>
    </w:p>
    <w:p>
      <w:pPr>
        <w:pStyle w:val="3"/>
        <w:numPr>
          <w:ilvl w:val="0"/>
          <w:numId w:val="7"/>
        </w:numPr>
        <w:bidi w:val="0"/>
        <w:ind w:firstLine="0"/>
        <w:rPr>
          <w:rFonts w:hint="eastAsia"/>
          <w:lang w:val="en-US" w:eastAsia="zh-CN"/>
        </w:rPr>
      </w:pPr>
      <w:bookmarkStart w:id="128" w:name="_Toc31442"/>
      <w:bookmarkStart w:id="129" w:name="_Toc32111"/>
      <w:bookmarkStart w:id="130" w:name="_Toc10341"/>
      <w:bookmarkStart w:id="131" w:name="_Toc27082"/>
      <w:bookmarkStart w:id="132" w:name="_Toc17228"/>
      <w:bookmarkStart w:id="133" w:name="_Toc16598"/>
      <w:bookmarkStart w:id="134" w:name="_Toc27448"/>
      <w:bookmarkStart w:id="135" w:name="_Toc1330"/>
      <w:bookmarkStart w:id="136" w:name="_Toc22929"/>
      <w:r>
        <w:rPr>
          <w:rFonts w:hint="eastAsia"/>
          <w:lang w:val="en-US" w:eastAsia="zh-CN"/>
        </w:rPr>
        <w:t>全省年报管理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省级文化馆除具有本单位年报管理权限之外，还具有全省文化馆年报管理权限，包括进行全省年报查询、查看、下载、打印、导出表格、全部下载功能。如需具有全省年报删除、编辑权限，需额外申请授权。</w:t>
      </w:r>
    </w:p>
    <w:p>
      <w:pPr>
        <w:pStyle w:val="4"/>
        <w:numPr>
          <w:ilvl w:val="0"/>
          <w:numId w:val="9"/>
        </w:numPr>
        <w:bidi w:val="0"/>
        <w:ind w:left="0" w:firstLine="0"/>
        <w:rPr>
          <w:rFonts w:hint="default"/>
          <w:lang w:val="en-US" w:eastAsia="zh-CN"/>
        </w:rPr>
      </w:pPr>
      <w:bookmarkStart w:id="137" w:name="_Toc23373"/>
      <w:bookmarkStart w:id="138" w:name="_Toc21657"/>
      <w:bookmarkStart w:id="139" w:name="_Toc28099"/>
      <w:bookmarkStart w:id="140" w:name="_Toc718"/>
      <w:bookmarkStart w:id="141" w:name="_Toc9769"/>
      <w:bookmarkStart w:id="142" w:name="_Toc4544"/>
      <w:bookmarkStart w:id="143" w:name="_Toc7595"/>
      <w:bookmarkStart w:id="144" w:name="_Toc3843"/>
      <w:bookmarkStart w:id="145" w:name="_Toc15503"/>
      <w:r>
        <w:rPr>
          <w:rFonts w:hint="eastAsia"/>
          <w:lang w:val="en-US" w:eastAsia="zh-CN"/>
        </w:rPr>
        <w:t>查询</w:t>
      </w:r>
      <w:bookmarkEnd w:id="137"/>
      <w:bookmarkEnd w:id="138"/>
      <w:bookmarkEnd w:id="139"/>
      <w:bookmarkEnd w:id="140"/>
      <w:bookmarkEnd w:id="141"/>
      <w:r>
        <w:rPr>
          <w:rFonts w:hint="eastAsia"/>
          <w:lang w:val="en-US" w:eastAsia="zh-CN"/>
        </w:rPr>
        <w:t>年报</w:t>
      </w:r>
      <w:bookmarkEnd w:id="142"/>
      <w:bookmarkEnd w:id="143"/>
      <w:bookmarkEnd w:id="144"/>
      <w:bookmarkEnd w:id="145"/>
    </w:p>
    <w:p>
      <w:pPr>
        <w:numPr>
          <w:ilvl w:val="0"/>
          <w:numId w:val="10"/>
        </w:numPr>
        <w:ind w:left="425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进入全省年报管理菜单，即可查看到所有已提交的全省年报。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2245" cy="1566545"/>
            <wp:effectExtent l="0" t="0" r="14605" b="14605"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全省年报管理</w:t>
      </w:r>
    </w:p>
    <w:p>
      <w:pPr>
        <w:numPr>
          <w:ilvl w:val="0"/>
          <w:numId w:val="10"/>
        </w:numPr>
        <w:ind w:left="425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在页面中可输入年报标题、选择年份、选择发布时间进行全省年报信息筛选查询。点击重置按钮清空筛选条件重新加载查询。</w:t>
      </w:r>
    </w:p>
    <w:p>
      <w:pPr>
        <w:pStyle w:val="16"/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262880" cy="1430020"/>
            <wp:effectExtent l="0" t="0" r="13970" b="17780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ind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pStyle w:val="4"/>
        <w:numPr>
          <w:ilvl w:val="0"/>
          <w:numId w:val="9"/>
        </w:numPr>
        <w:bidi w:val="0"/>
        <w:ind w:left="425" w:hanging="425"/>
        <w:rPr>
          <w:rFonts w:hint="eastAsia"/>
          <w:lang w:val="en-US" w:eastAsia="zh-CN"/>
        </w:rPr>
      </w:pPr>
      <w:bookmarkStart w:id="146" w:name="_Toc1346"/>
      <w:bookmarkStart w:id="147" w:name="_Toc16898"/>
      <w:bookmarkStart w:id="148" w:name="_Toc30409"/>
      <w:bookmarkStart w:id="149" w:name="_Toc2618"/>
      <w:bookmarkStart w:id="150" w:name="_Toc15973"/>
      <w:bookmarkStart w:id="151" w:name="_Toc31620"/>
      <w:bookmarkStart w:id="152" w:name="_Toc19317"/>
      <w:bookmarkStart w:id="153" w:name="_Toc16315"/>
      <w:bookmarkStart w:id="154" w:name="_Toc23344"/>
      <w:r>
        <w:rPr>
          <w:rFonts w:hint="eastAsia"/>
          <w:lang w:val="en-US" w:eastAsia="zh-CN"/>
        </w:rPr>
        <w:t>查看年报</w:t>
      </w:r>
      <w:bookmarkEnd w:id="146"/>
      <w:bookmarkEnd w:id="147"/>
      <w:bookmarkEnd w:id="148"/>
      <w:bookmarkEnd w:id="149"/>
    </w:p>
    <w:p>
      <w:pPr>
        <w:keepNext/>
        <w:keepLines/>
        <w:numPr>
          <w:ilvl w:val="-1"/>
          <w:numId w:val="0"/>
        </w:numPr>
        <w:ind w:firstLine="48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点击列表页面查看按钮，可对年报信息进行查看。与本单位年报管理中查看功能一致。</w:t>
      </w:r>
    </w:p>
    <w:p>
      <w:pPr>
        <w:keepNext/>
        <w:keepLines/>
        <w:numPr>
          <w:ilvl w:val="-1"/>
          <w:numId w:val="0"/>
        </w:numPr>
        <w:ind w:firstLine="480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33020</wp:posOffset>
            </wp:positionV>
            <wp:extent cx="5260975" cy="1545590"/>
            <wp:effectExtent l="0" t="0" r="15875" b="16510"/>
            <wp:wrapNone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/>
        <w:keepLines/>
        <w:numPr>
          <w:ilvl w:val="-1"/>
          <w:numId w:val="0"/>
        </w:numPr>
        <w:ind w:firstLine="480"/>
        <w:outlineLvl w:val="9"/>
        <w:rPr>
          <w:rFonts w:hint="eastAsia"/>
          <w:lang w:val="en-US" w:eastAsia="zh-CN"/>
        </w:rPr>
      </w:pPr>
    </w:p>
    <w:p>
      <w:pPr>
        <w:keepNext/>
        <w:keepLines/>
        <w:numPr>
          <w:ilvl w:val="-1"/>
          <w:numId w:val="0"/>
        </w:numPr>
        <w:ind w:firstLine="480"/>
        <w:outlineLvl w:val="9"/>
        <w:rPr>
          <w:rFonts w:hint="eastAsia"/>
          <w:lang w:val="en-US" w:eastAsia="zh-CN"/>
        </w:rPr>
      </w:pPr>
    </w:p>
    <w:p>
      <w:pPr>
        <w:keepNext/>
        <w:keepLines/>
        <w:numPr>
          <w:ilvl w:val="-1"/>
          <w:numId w:val="0"/>
        </w:numPr>
        <w:ind w:firstLine="480"/>
        <w:outlineLvl w:val="9"/>
        <w:rPr>
          <w:rFonts w:hint="eastAsia"/>
          <w:lang w:val="en-US" w:eastAsia="zh-CN"/>
        </w:rPr>
      </w:pPr>
    </w:p>
    <w:p>
      <w:pPr>
        <w:keepNext/>
        <w:keepLines/>
        <w:numPr>
          <w:ilvl w:val="-1"/>
          <w:numId w:val="0"/>
        </w:numPr>
        <w:ind w:firstLine="480"/>
        <w:outlineLvl w:val="9"/>
        <w:rPr>
          <w:rFonts w:hint="eastAsia"/>
          <w:lang w:val="en-US" w:eastAsia="zh-CN"/>
        </w:rPr>
      </w:pPr>
    </w:p>
    <w:p>
      <w:pPr>
        <w:keepNext/>
        <w:keepLines/>
        <w:numPr>
          <w:ilvl w:val="-1"/>
          <w:numId w:val="0"/>
        </w:numPr>
        <w:ind w:firstLine="480"/>
        <w:outlineLvl w:val="9"/>
        <w:rPr>
          <w:rFonts w:hint="eastAsia"/>
          <w:lang w:val="en-US" w:eastAsia="zh-CN"/>
        </w:rPr>
      </w:pPr>
    </w:p>
    <w:p>
      <w:pPr>
        <w:pStyle w:val="16"/>
        <w:rPr>
          <w:rFonts w:hint="default"/>
          <w:lang w:val="en-US" w:eastAsia="zh-CN"/>
        </w:rPr>
      </w:pPr>
      <w:bookmarkStart w:id="155" w:name="_Toc26085"/>
      <w:r>
        <w:rPr>
          <w:rFonts w:hint="eastAsia"/>
          <w:lang w:val="en-US" w:eastAsia="zh-CN"/>
        </w:rPr>
        <w:t>查看</w:t>
      </w:r>
    </w:p>
    <w:p>
      <w:pPr>
        <w:pStyle w:val="4"/>
        <w:numPr>
          <w:ilvl w:val="0"/>
          <w:numId w:val="9"/>
        </w:numPr>
        <w:bidi w:val="0"/>
        <w:ind w:left="425" w:hanging="425"/>
        <w:rPr>
          <w:rFonts w:hint="eastAsia"/>
          <w:lang w:val="en-US" w:eastAsia="zh-CN"/>
        </w:rPr>
      </w:pPr>
      <w:bookmarkStart w:id="156" w:name="_Toc23272"/>
      <w:bookmarkStart w:id="157" w:name="_Toc28786"/>
      <w:bookmarkStart w:id="158" w:name="_Toc2852"/>
      <w:r>
        <w:rPr>
          <w:rFonts w:hint="eastAsia"/>
          <w:lang w:val="en-US" w:eastAsia="zh-CN"/>
        </w:rPr>
        <w:t>下载年报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点击列表页面下载按钮，可下载PDF电子年报文件。与本单位年报管理中下载功能一致。</w:t>
      </w: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151130</wp:posOffset>
            </wp:positionV>
            <wp:extent cx="5261610" cy="1550035"/>
            <wp:effectExtent l="0" t="0" r="15240" b="12065"/>
            <wp:wrapNone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</w:p>
    <w:p>
      <w:pPr>
        <w:pStyle w:val="16"/>
        <w:bidi w:val="0"/>
        <w:rPr>
          <w:rFonts w:hint="eastAsia"/>
          <w:lang w:val="en-US" w:eastAsia="zh-CN"/>
        </w:rPr>
      </w:pPr>
    </w:p>
    <w:p>
      <w:pPr>
        <w:pStyle w:val="16"/>
      </w:pPr>
      <w:r>
        <w:rPr>
          <w:rFonts w:hint="eastAsia"/>
          <w:lang w:val="en-US" w:eastAsia="zh-CN"/>
        </w:rPr>
        <w:t>下载</w:t>
      </w:r>
    </w:p>
    <w:p>
      <w:pPr>
        <w:pStyle w:val="4"/>
        <w:numPr>
          <w:ilvl w:val="0"/>
          <w:numId w:val="9"/>
        </w:numPr>
        <w:bidi w:val="0"/>
        <w:ind w:left="425" w:hanging="425"/>
        <w:rPr>
          <w:rFonts w:hint="eastAsia"/>
          <w:lang w:val="en-US" w:eastAsia="zh-CN"/>
        </w:rPr>
      </w:pPr>
      <w:bookmarkStart w:id="159" w:name="_Toc30473"/>
      <w:bookmarkStart w:id="160" w:name="_Toc9846"/>
      <w:bookmarkStart w:id="161" w:name="_Toc31907"/>
      <w:bookmarkStart w:id="162" w:name="_Toc279"/>
      <w:bookmarkStart w:id="163" w:name="_Toc24275"/>
      <w:bookmarkStart w:id="164" w:name="_Toc15617"/>
      <w:bookmarkStart w:id="165" w:name="_Toc23286"/>
      <w:bookmarkStart w:id="166" w:name="_Toc10973"/>
      <w:bookmarkStart w:id="167" w:name="_Toc23287"/>
      <w:r>
        <w:rPr>
          <w:rFonts w:hint="eastAsia"/>
          <w:lang w:val="en-US" w:eastAsia="zh-CN"/>
        </w:rPr>
        <w:t>打印年报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点击列表页面打印按钮，可打印《年报基本信息表》。如各级文化馆在交存纸质年报时忘记打印《年报基本信息表》，省级文化馆可通过该功能补打。与本单位年报管理中打印功能一致。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9230" cy="1574800"/>
            <wp:effectExtent l="0" t="0" r="7620" b="6350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</w:t>
      </w:r>
    </w:p>
    <w:p>
      <w:pPr>
        <w:pStyle w:val="4"/>
        <w:numPr>
          <w:ilvl w:val="0"/>
          <w:numId w:val="9"/>
        </w:numPr>
        <w:bidi w:val="0"/>
        <w:ind w:left="425" w:hanging="425"/>
        <w:rPr>
          <w:rFonts w:hint="eastAsia"/>
          <w:lang w:val="en-US" w:eastAsia="zh-CN"/>
        </w:rPr>
      </w:pPr>
      <w:bookmarkStart w:id="168" w:name="_Toc5684"/>
      <w:bookmarkStart w:id="169" w:name="_Toc8545"/>
      <w:bookmarkStart w:id="170" w:name="_Toc7743"/>
      <w:bookmarkStart w:id="171" w:name="_Toc22202"/>
      <w:bookmarkStart w:id="172" w:name="_Toc9948"/>
      <w:bookmarkStart w:id="173" w:name="_Toc1041"/>
      <w:bookmarkStart w:id="174" w:name="_Toc28983"/>
      <w:bookmarkStart w:id="175" w:name="_Toc24718"/>
      <w:bookmarkStart w:id="176" w:name="_Toc7093"/>
      <w:r>
        <w:rPr>
          <w:rFonts w:hint="eastAsia"/>
          <w:lang w:val="en-US" w:eastAsia="zh-CN"/>
        </w:rPr>
        <w:t>导出表格</w:t>
      </w:r>
      <w:bookmarkEnd w:id="168"/>
      <w:bookmarkEnd w:id="169"/>
      <w:bookmarkEnd w:id="170"/>
      <w:bookmarkEnd w:id="17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点击导出表格按钮，可将全省已发布（或查询出的）的年报信息以Excel表格形式导出。导出表格包括所有填报的年报信息以及PDF年报文件和封面链接。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56530" cy="1562100"/>
            <wp:effectExtent l="0" t="0" r="1270" b="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导出表格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770" cy="791210"/>
            <wp:effectExtent l="0" t="0" r="5080" b="889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导出后的</w:t>
      </w:r>
      <w:r>
        <w:rPr>
          <w:rFonts w:hint="eastAsia"/>
          <w:lang w:eastAsia="zh-CN"/>
        </w:rPr>
        <w:t>Excel表格</w:t>
      </w:r>
    </w:p>
    <w:p>
      <w:pPr>
        <w:pStyle w:val="4"/>
        <w:numPr>
          <w:ilvl w:val="0"/>
          <w:numId w:val="9"/>
        </w:numPr>
        <w:bidi w:val="0"/>
        <w:ind w:left="425" w:hanging="425"/>
        <w:rPr>
          <w:rFonts w:hint="default"/>
          <w:lang w:val="en-US" w:eastAsia="zh-CN"/>
        </w:rPr>
      </w:pPr>
      <w:bookmarkStart w:id="177" w:name="_Toc20905"/>
      <w:bookmarkStart w:id="178" w:name="_Toc29045"/>
      <w:bookmarkStart w:id="179" w:name="_Toc21557"/>
      <w:bookmarkStart w:id="180" w:name="_Toc17900"/>
      <w:r>
        <w:rPr>
          <w:rFonts w:hint="eastAsia"/>
          <w:lang w:val="en-US" w:eastAsia="zh-CN"/>
        </w:rPr>
        <w:t>全部下载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点击列表页面全部下载按钮，可将全省已发布（或查询出的）的PDF电子年报文件以压缩包形式导出。年报文件名自动更新为：年报ID_年报标题.pdf。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3515" cy="1529715"/>
            <wp:effectExtent l="0" t="0" r="13335" b="13335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</w:pPr>
      <w:r>
        <w:rPr>
          <w:rFonts w:hint="eastAsia"/>
          <w:lang w:eastAsia="zh-CN"/>
        </w:rPr>
        <w:t>全部下载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1966595"/>
            <wp:effectExtent l="0" t="0" r="6985" b="14605"/>
            <wp:docPr id="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下载后的</w:t>
      </w:r>
      <w:r>
        <w:rPr>
          <w:rFonts w:hint="eastAsia"/>
          <w:lang w:val="en-US" w:eastAsia="zh-CN"/>
        </w:rPr>
        <w:t>年报文件</w:t>
      </w:r>
      <w:r>
        <w:rPr>
          <w:rFonts w:hint="eastAsia"/>
          <w:lang w:eastAsia="zh-CN"/>
        </w:rPr>
        <w:t>压缩包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5BEDD6"/>
    <w:multiLevelType w:val="singleLevel"/>
    <w:tmpl w:val="825BEDD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92D2BEEA"/>
    <w:multiLevelType w:val="singleLevel"/>
    <w:tmpl w:val="92D2BEE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95947D7F"/>
    <w:multiLevelType w:val="singleLevel"/>
    <w:tmpl w:val="95947D7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0DD69F4"/>
    <w:multiLevelType w:val="singleLevel"/>
    <w:tmpl w:val="B0DD69F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>
    <w:nsid w:val="D003EB2F"/>
    <w:multiLevelType w:val="singleLevel"/>
    <w:tmpl w:val="D003EB2F"/>
    <w:lvl w:ilvl="0" w:tentative="0">
      <w:start w:val="1"/>
      <w:numFmt w:val="chineseCounting"/>
      <w:pStyle w:val="3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F9052155"/>
    <w:multiLevelType w:val="singleLevel"/>
    <w:tmpl w:val="F905215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17296293"/>
    <w:multiLevelType w:val="singleLevel"/>
    <w:tmpl w:val="1729629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3A2C98D8"/>
    <w:multiLevelType w:val="singleLevel"/>
    <w:tmpl w:val="3A2C98D8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8">
    <w:nsid w:val="3E445218"/>
    <w:multiLevelType w:val="singleLevel"/>
    <w:tmpl w:val="3E445218"/>
    <w:lvl w:ilvl="0" w:tentative="0">
      <w:start w:val="1"/>
      <w:numFmt w:val="decimal"/>
      <w:pStyle w:val="4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>
    <w:nsid w:val="3FC9B328"/>
    <w:multiLevelType w:val="singleLevel"/>
    <w:tmpl w:val="3FC9B32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3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2MDI0Yjk4ZWZkOGVlODllOWMyMjI0MzllZTViNTcifQ=="/>
    <w:docVar w:name="KSO_WPS_MARK_KEY" w:val="8d54ddf8-c7a7-43c2-ac57-569a0e3ee1bd"/>
  </w:docVars>
  <w:rsids>
    <w:rsidRoot w:val="759A4563"/>
    <w:rsid w:val="0083050D"/>
    <w:rsid w:val="00CA613C"/>
    <w:rsid w:val="016F4205"/>
    <w:rsid w:val="01D06BB2"/>
    <w:rsid w:val="02A4495D"/>
    <w:rsid w:val="02AD361F"/>
    <w:rsid w:val="02F32FFC"/>
    <w:rsid w:val="035E4919"/>
    <w:rsid w:val="03600692"/>
    <w:rsid w:val="036E2742"/>
    <w:rsid w:val="03830824"/>
    <w:rsid w:val="03993BA4"/>
    <w:rsid w:val="03FA6D38"/>
    <w:rsid w:val="04E13A54"/>
    <w:rsid w:val="04FC263C"/>
    <w:rsid w:val="05092FAB"/>
    <w:rsid w:val="050F6813"/>
    <w:rsid w:val="056100CF"/>
    <w:rsid w:val="05B64EE1"/>
    <w:rsid w:val="062C2330"/>
    <w:rsid w:val="06622973"/>
    <w:rsid w:val="067B3A34"/>
    <w:rsid w:val="0696086E"/>
    <w:rsid w:val="06B01930"/>
    <w:rsid w:val="06E17D3B"/>
    <w:rsid w:val="0708176C"/>
    <w:rsid w:val="0708351A"/>
    <w:rsid w:val="07632E46"/>
    <w:rsid w:val="07BC4304"/>
    <w:rsid w:val="07CD02C0"/>
    <w:rsid w:val="07DD4069"/>
    <w:rsid w:val="083B16CD"/>
    <w:rsid w:val="08A72CFC"/>
    <w:rsid w:val="08D77648"/>
    <w:rsid w:val="09175C96"/>
    <w:rsid w:val="094C5B48"/>
    <w:rsid w:val="098507CA"/>
    <w:rsid w:val="09DE67B4"/>
    <w:rsid w:val="09F2400E"/>
    <w:rsid w:val="0A081A83"/>
    <w:rsid w:val="0A0D7099"/>
    <w:rsid w:val="0AB37C41"/>
    <w:rsid w:val="0ADA51CD"/>
    <w:rsid w:val="0B61144B"/>
    <w:rsid w:val="0B6A26FF"/>
    <w:rsid w:val="0C210C26"/>
    <w:rsid w:val="0C874EE1"/>
    <w:rsid w:val="0D847672"/>
    <w:rsid w:val="0EB61AAE"/>
    <w:rsid w:val="0F1113DA"/>
    <w:rsid w:val="0F753717"/>
    <w:rsid w:val="0FB145AE"/>
    <w:rsid w:val="0FC63F72"/>
    <w:rsid w:val="0FCB1589"/>
    <w:rsid w:val="0FF7412C"/>
    <w:rsid w:val="101F1965"/>
    <w:rsid w:val="10855A41"/>
    <w:rsid w:val="10A83B80"/>
    <w:rsid w:val="10F36FE9"/>
    <w:rsid w:val="11A958FA"/>
    <w:rsid w:val="11D566EF"/>
    <w:rsid w:val="12C0739F"/>
    <w:rsid w:val="12EC1F42"/>
    <w:rsid w:val="130F5A85"/>
    <w:rsid w:val="13220EF9"/>
    <w:rsid w:val="13285B03"/>
    <w:rsid w:val="138A720D"/>
    <w:rsid w:val="13A20852"/>
    <w:rsid w:val="13A9398F"/>
    <w:rsid w:val="13D84F9E"/>
    <w:rsid w:val="14F72E20"/>
    <w:rsid w:val="155D7127"/>
    <w:rsid w:val="1573694A"/>
    <w:rsid w:val="15783F61"/>
    <w:rsid w:val="15BE749A"/>
    <w:rsid w:val="15C70A44"/>
    <w:rsid w:val="15E038B4"/>
    <w:rsid w:val="15FA2BC8"/>
    <w:rsid w:val="16135A37"/>
    <w:rsid w:val="161B6308"/>
    <w:rsid w:val="161F43DC"/>
    <w:rsid w:val="16565924"/>
    <w:rsid w:val="167C538B"/>
    <w:rsid w:val="16BC01AD"/>
    <w:rsid w:val="16BC7E7D"/>
    <w:rsid w:val="16F413C5"/>
    <w:rsid w:val="17127A9D"/>
    <w:rsid w:val="17516817"/>
    <w:rsid w:val="17A34B99"/>
    <w:rsid w:val="17D241D5"/>
    <w:rsid w:val="18154FDF"/>
    <w:rsid w:val="186073E1"/>
    <w:rsid w:val="18925339"/>
    <w:rsid w:val="18B828C6"/>
    <w:rsid w:val="18EF453A"/>
    <w:rsid w:val="19924EC5"/>
    <w:rsid w:val="1A3D12D5"/>
    <w:rsid w:val="1ABF357B"/>
    <w:rsid w:val="1ADF238C"/>
    <w:rsid w:val="1B063DBD"/>
    <w:rsid w:val="1B293607"/>
    <w:rsid w:val="1B472FEB"/>
    <w:rsid w:val="1B6740A8"/>
    <w:rsid w:val="1BB6133F"/>
    <w:rsid w:val="1BEA2D97"/>
    <w:rsid w:val="1C550B58"/>
    <w:rsid w:val="1C6012AB"/>
    <w:rsid w:val="1C9A47BD"/>
    <w:rsid w:val="1CB02232"/>
    <w:rsid w:val="1CB735C0"/>
    <w:rsid w:val="1CD970E6"/>
    <w:rsid w:val="1CDF602F"/>
    <w:rsid w:val="1D3C44E7"/>
    <w:rsid w:val="1DA02A46"/>
    <w:rsid w:val="1DBF523A"/>
    <w:rsid w:val="1DC87107"/>
    <w:rsid w:val="1DD41F50"/>
    <w:rsid w:val="1DD97567"/>
    <w:rsid w:val="1DE859FC"/>
    <w:rsid w:val="1E1467F1"/>
    <w:rsid w:val="1E3D18A3"/>
    <w:rsid w:val="1E566E09"/>
    <w:rsid w:val="1F132604"/>
    <w:rsid w:val="1FDE0E64"/>
    <w:rsid w:val="206A71CC"/>
    <w:rsid w:val="208A4B48"/>
    <w:rsid w:val="22192627"/>
    <w:rsid w:val="221A1EFC"/>
    <w:rsid w:val="22274D44"/>
    <w:rsid w:val="224C6559"/>
    <w:rsid w:val="227028F7"/>
    <w:rsid w:val="228201CD"/>
    <w:rsid w:val="22EE7610"/>
    <w:rsid w:val="23390004"/>
    <w:rsid w:val="24AC1531"/>
    <w:rsid w:val="251D5F8B"/>
    <w:rsid w:val="2606465A"/>
    <w:rsid w:val="26151358"/>
    <w:rsid w:val="2632248D"/>
    <w:rsid w:val="26995AE5"/>
    <w:rsid w:val="269C7383"/>
    <w:rsid w:val="26E8081A"/>
    <w:rsid w:val="28290181"/>
    <w:rsid w:val="28447CD2"/>
    <w:rsid w:val="28732366"/>
    <w:rsid w:val="28EB63A0"/>
    <w:rsid w:val="291D23AE"/>
    <w:rsid w:val="29673C78"/>
    <w:rsid w:val="2A28081B"/>
    <w:rsid w:val="2A4E308A"/>
    <w:rsid w:val="2A895E70"/>
    <w:rsid w:val="2AC1385C"/>
    <w:rsid w:val="2AF27EBA"/>
    <w:rsid w:val="2B1E480B"/>
    <w:rsid w:val="2B4A08BA"/>
    <w:rsid w:val="2B5B780D"/>
    <w:rsid w:val="2BC2163A"/>
    <w:rsid w:val="2D045C82"/>
    <w:rsid w:val="2D1C4D7A"/>
    <w:rsid w:val="2D484566"/>
    <w:rsid w:val="2D8E7499"/>
    <w:rsid w:val="2D9D235F"/>
    <w:rsid w:val="2DAC4350"/>
    <w:rsid w:val="2DBB4593"/>
    <w:rsid w:val="2DDD275B"/>
    <w:rsid w:val="2E0C4DEE"/>
    <w:rsid w:val="2E89643F"/>
    <w:rsid w:val="2ED3590C"/>
    <w:rsid w:val="2EE45D6B"/>
    <w:rsid w:val="2F261EE0"/>
    <w:rsid w:val="2F662C24"/>
    <w:rsid w:val="2FB964D3"/>
    <w:rsid w:val="30182170"/>
    <w:rsid w:val="301D59C8"/>
    <w:rsid w:val="30275F10"/>
    <w:rsid w:val="30E67B79"/>
    <w:rsid w:val="3139752E"/>
    <w:rsid w:val="31540F86"/>
    <w:rsid w:val="31927D00"/>
    <w:rsid w:val="320209E2"/>
    <w:rsid w:val="3207424B"/>
    <w:rsid w:val="327D62BB"/>
    <w:rsid w:val="32AC4DF2"/>
    <w:rsid w:val="32E26A66"/>
    <w:rsid w:val="333170A5"/>
    <w:rsid w:val="333A0650"/>
    <w:rsid w:val="33557238"/>
    <w:rsid w:val="33C30645"/>
    <w:rsid w:val="33FC76B3"/>
    <w:rsid w:val="346D235F"/>
    <w:rsid w:val="356E638F"/>
    <w:rsid w:val="35E0728C"/>
    <w:rsid w:val="35EB3E83"/>
    <w:rsid w:val="35F5085E"/>
    <w:rsid w:val="36941E25"/>
    <w:rsid w:val="369938DF"/>
    <w:rsid w:val="36B97ADD"/>
    <w:rsid w:val="37024FE0"/>
    <w:rsid w:val="373553B6"/>
    <w:rsid w:val="379320DC"/>
    <w:rsid w:val="38194CD8"/>
    <w:rsid w:val="38196407"/>
    <w:rsid w:val="390908A8"/>
    <w:rsid w:val="39A6259B"/>
    <w:rsid w:val="39F01A68"/>
    <w:rsid w:val="3A7D77A0"/>
    <w:rsid w:val="3A992100"/>
    <w:rsid w:val="3B1654FE"/>
    <w:rsid w:val="3CDB69FF"/>
    <w:rsid w:val="3CE82ECA"/>
    <w:rsid w:val="3D69400B"/>
    <w:rsid w:val="3DA212CB"/>
    <w:rsid w:val="3E0B0C1F"/>
    <w:rsid w:val="3E3A041C"/>
    <w:rsid w:val="3E444130"/>
    <w:rsid w:val="3E8B1AC7"/>
    <w:rsid w:val="3ECA2888"/>
    <w:rsid w:val="3ED37568"/>
    <w:rsid w:val="3F392EA7"/>
    <w:rsid w:val="3F544847"/>
    <w:rsid w:val="3FC75019"/>
    <w:rsid w:val="40AE7F87"/>
    <w:rsid w:val="40B557B9"/>
    <w:rsid w:val="41230975"/>
    <w:rsid w:val="4134048C"/>
    <w:rsid w:val="413C37E5"/>
    <w:rsid w:val="413C419C"/>
    <w:rsid w:val="417116E0"/>
    <w:rsid w:val="419378A9"/>
    <w:rsid w:val="41D028AB"/>
    <w:rsid w:val="423A5F76"/>
    <w:rsid w:val="423B584A"/>
    <w:rsid w:val="42CE66BF"/>
    <w:rsid w:val="42EB7271"/>
    <w:rsid w:val="43100A85"/>
    <w:rsid w:val="4344496E"/>
    <w:rsid w:val="43566DE0"/>
    <w:rsid w:val="436A63E7"/>
    <w:rsid w:val="43A41F82"/>
    <w:rsid w:val="43DD305D"/>
    <w:rsid w:val="443D3540"/>
    <w:rsid w:val="454D4212"/>
    <w:rsid w:val="45C5024D"/>
    <w:rsid w:val="45D264C6"/>
    <w:rsid w:val="46CC1167"/>
    <w:rsid w:val="47685334"/>
    <w:rsid w:val="47A67C0A"/>
    <w:rsid w:val="47CA56A6"/>
    <w:rsid w:val="481B05F8"/>
    <w:rsid w:val="483F6AC4"/>
    <w:rsid w:val="48403BBB"/>
    <w:rsid w:val="4847319B"/>
    <w:rsid w:val="485D476D"/>
    <w:rsid w:val="4928653D"/>
    <w:rsid w:val="49B760FE"/>
    <w:rsid w:val="49C12AD9"/>
    <w:rsid w:val="49CF3448"/>
    <w:rsid w:val="4A58343D"/>
    <w:rsid w:val="4A954692"/>
    <w:rsid w:val="4AD7205D"/>
    <w:rsid w:val="4AD8457E"/>
    <w:rsid w:val="4ADD7DE7"/>
    <w:rsid w:val="4B3043BA"/>
    <w:rsid w:val="4B4E2AA6"/>
    <w:rsid w:val="4B6F13A9"/>
    <w:rsid w:val="4B775B45"/>
    <w:rsid w:val="4C2555A1"/>
    <w:rsid w:val="4CA010CC"/>
    <w:rsid w:val="4D5048A0"/>
    <w:rsid w:val="4D956E04"/>
    <w:rsid w:val="4E493050"/>
    <w:rsid w:val="4E5D4AFC"/>
    <w:rsid w:val="4E7520E4"/>
    <w:rsid w:val="4E880069"/>
    <w:rsid w:val="4ED432AF"/>
    <w:rsid w:val="4ED908C5"/>
    <w:rsid w:val="4EDD2163"/>
    <w:rsid w:val="4F336227"/>
    <w:rsid w:val="4F3A75B6"/>
    <w:rsid w:val="4F3F6884"/>
    <w:rsid w:val="502A762A"/>
    <w:rsid w:val="507A1C34"/>
    <w:rsid w:val="509B4084"/>
    <w:rsid w:val="50F6575E"/>
    <w:rsid w:val="5151508A"/>
    <w:rsid w:val="51F76131"/>
    <w:rsid w:val="523D116B"/>
    <w:rsid w:val="524B3888"/>
    <w:rsid w:val="528D3EA0"/>
    <w:rsid w:val="53195734"/>
    <w:rsid w:val="53204D14"/>
    <w:rsid w:val="54872C8C"/>
    <w:rsid w:val="55C4407D"/>
    <w:rsid w:val="55D547C8"/>
    <w:rsid w:val="55FB55C5"/>
    <w:rsid w:val="561D553B"/>
    <w:rsid w:val="56446F6C"/>
    <w:rsid w:val="569A3030"/>
    <w:rsid w:val="56FE711B"/>
    <w:rsid w:val="575C02E5"/>
    <w:rsid w:val="582F1556"/>
    <w:rsid w:val="58670CF0"/>
    <w:rsid w:val="58BD4DB3"/>
    <w:rsid w:val="5908019E"/>
    <w:rsid w:val="59413C36"/>
    <w:rsid w:val="59976845"/>
    <w:rsid w:val="5AEB20AC"/>
    <w:rsid w:val="5BBB0300"/>
    <w:rsid w:val="5BCA019E"/>
    <w:rsid w:val="5BF07808"/>
    <w:rsid w:val="5C190436"/>
    <w:rsid w:val="5C2018E1"/>
    <w:rsid w:val="5C311D40"/>
    <w:rsid w:val="5C8207EE"/>
    <w:rsid w:val="5CB85FBE"/>
    <w:rsid w:val="5CFF3BED"/>
    <w:rsid w:val="5D4B5084"/>
    <w:rsid w:val="5D6D4FFA"/>
    <w:rsid w:val="5D7F4930"/>
    <w:rsid w:val="5DE84681"/>
    <w:rsid w:val="5DEB5F1F"/>
    <w:rsid w:val="5E652175"/>
    <w:rsid w:val="5E824AD5"/>
    <w:rsid w:val="5F2D4A41"/>
    <w:rsid w:val="5F622211"/>
    <w:rsid w:val="5F73441E"/>
    <w:rsid w:val="5FAB1E0A"/>
    <w:rsid w:val="5FAF0907"/>
    <w:rsid w:val="5FD924D3"/>
    <w:rsid w:val="5FF23595"/>
    <w:rsid w:val="5FF437B1"/>
    <w:rsid w:val="60114363"/>
    <w:rsid w:val="60936B26"/>
    <w:rsid w:val="60A32AE1"/>
    <w:rsid w:val="60CF1B28"/>
    <w:rsid w:val="60F8107F"/>
    <w:rsid w:val="614B37FC"/>
    <w:rsid w:val="61A66D2D"/>
    <w:rsid w:val="61B82A0B"/>
    <w:rsid w:val="61F8409E"/>
    <w:rsid w:val="626C11F0"/>
    <w:rsid w:val="628B12D0"/>
    <w:rsid w:val="62B334AF"/>
    <w:rsid w:val="6318012F"/>
    <w:rsid w:val="63500CFE"/>
    <w:rsid w:val="63F57AF7"/>
    <w:rsid w:val="642B176B"/>
    <w:rsid w:val="64590086"/>
    <w:rsid w:val="64E8140A"/>
    <w:rsid w:val="65037FF2"/>
    <w:rsid w:val="650D3CB3"/>
    <w:rsid w:val="65401246"/>
    <w:rsid w:val="657A02B4"/>
    <w:rsid w:val="659D3FA3"/>
    <w:rsid w:val="667C1E0A"/>
    <w:rsid w:val="66EA3218"/>
    <w:rsid w:val="6760797E"/>
    <w:rsid w:val="67BF28F6"/>
    <w:rsid w:val="67CE2B39"/>
    <w:rsid w:val="67E67E83"/>
    <w:rsid w:val="68190258"/>
    <w:rsid w:val="68324E76"/>
    <w:rsid w:val="683926A8"/>
    <w:rsid w:val="68437083"/>
    <w:rsid w:val="68534DEC"/>
    <w:rsid w:val="68D4413E"/>
    <w:rsid w:val="694A655B"/>
    <w:rsid w:val="695D4175"/>
    <w:rsid w:val="69823BDB"/>
    <w:rsid w:val="69A04061"/>
    <w:rsid w:val="69D16911"/>
    <w:rsid w:val="6A696B49"/>
    <w:rsid w:val="6A7774B8"/>
    <w:rsid w:val="6AF568C7"/>
    <w:rsid w:val="6B00125C"/>
    <w:rsid w:val="6B192137"/>
    <w:rsid w:val="6B2D7B77"/>
    <w:rsid w:val="6C021003"/>
    <w:rsid w:val="6C134FBF"/>
    <w:rsid w:val="6C4E249B"/>
    <w:rsid w:val="6C97799E"/>
    <w:rsid w:val="6CD72490"/>
    <w:rsid w:val="6D0843F7"/>
    <w:rsid w:val="6DD469CF"/>
    <w:rsid w:val="6DD54C21"/>
    <w:rsid w:val="6E146DCC"/>
    <w:rsid w:val="6E3E4DE8"/>
    <w:rsid w:val="6E6C4E5A"/>
    <w:rsid w:val="6E9A306A"/>
    <w:rsid w:val="6EBC6DC6"/>
    <w:rsid w:val="6EBF142E"/>
    <w:rsid w:val="6EE92007"/>
    <w:rsid w:val="6F4B2CC1"/>
    <w:rsid w:val="6FA7614A"/>
    <w:rsid w:val="6FE74798"/>
    <w:rsid w:val="6FF9271D"/>
    <w:rsid w:val="70691651"/>
    <w:rsid w:val="70E4517B"/>
    <w:rsid w:val="712D491D"/>
    <w:rsid w:val="716D6F1F"/>
    <w:rsid w:val="71B72890"/>
    <w:rsid w:val="71D423E2"/>
    <w:rsid w:val="722A4E10"/>
    <w:rsid w:val="729B5D0E"/>
    <w:rsid w:val="730613D9"/>
    <w:rsid w:val="73B13A3B"/>
    <w:rsid w:val="73B76B77"/>
    <w:rsid w:val="73F90F3E"/>
    <w:rsid w:val="7440091B"/>
    <w:rsid w:val="744F7B1A"/>
    <w:rsid w:val="747B5DF7"/>
    <w:rsid w:val="74AE276A"/>
    <w:rsid w:val="74DE4FB2"/>
    <w:rsid w:val="75134281"/>
    <w:rsid w:val="751D2A0A"/>
    <w:rsid w:val="75741AFD"/>
    <w:rsid w:val="757C3BD5"/>
    <w:rsid w:val="759A4563"/>
    <w:rsid w:val="763243C5"/>
    <w:rsid w:val="77A56DDC"/>
    <w:rsid w:val="77BD0ACC"/>
    <w:rsid w:val="78D36201"/>
    <w:rsid w:val="78DE6954"/>
    <w:rsid w:val="792B7DEB"/>
    <w:rsid w:val="795D5ACB"/>
    <w:rsid w:val="79D42231"/>
    <w:rsid w:val="79E420E8"/>
    <w:rsid w:val="7A093D1D"/>
    <w:rsid w:val="7A1038D7"/>
    <w:rsid w:val="7A124B07"/>
    <w:rsid w:val="7A765096"/>
    <w:rsid w:val="7A8C48BA"/>
    <w:rsid w:val="7AAD65DE"/>
    <w:rsid w:val="7AF95CC7"/>
    <w:rsid w:val="7B8C2698"/>
    <w:rsid w:val="7C262AEC"/>
    <w:rsid w:val="7C75137E"/>
    <w:rsid w:val="7C8A4E29"/>
    <w:rsid w:val="7CB225D2"/>
    <w:rsid w:val="7CD509E7"/>
    <w:rsid w:val="7DB61C4E"/>
    <w:rsid w:val="7DE247F1"/>
    <w:rsid w:val="7DE95B7F"/>
    <w:rsid w:val="7E7062A0"/>
    <w:rsid w:val="7E953F59"/>
    <w:rsid w:val="7F030EC3"/>
    <w:rsid w:val="7F2A644F"/>
    <w:rsid w:val="7FDB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9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00" w:beforeLines="0" w:beforeAutospacing="0" w:after="200" w:afterLines="0" w:afterAutospacing="0" w:line="576" w:lineRule="auto"/>
      <w:ind w:firstLine="0" w:firstLineChars="0"/>
      <w:outlineLvl w:val="0"/>
    </w:pPr>
    <w:rPr>
      <w:rFonts w:eastAsia="黑体"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120" w:beforeLines="0" w:beforeAutospacing="0" w:after="120" w:afterLines="0" w:afterAutospacing="0" w:line="413" w:lineRule="auto"/>
      <w:ind w:firstLine="0" w:firstLineChars="0"/>
      <w:outlineLvl w:val="1"/>
    </w:pPr>
    <w:rPr>
      <w:rFonts w:ascii="Arial" w:hAnsi="Arial" w:eastAsia="楷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0"/>
        <w:numId w:val="3"/>
      </w:numPr>
      <w:spacing w:before="120" w:beforeLines="0" w:beforeAutospacing="0" w:after="120" w:afterLines="0" w:afterAutospacing="0" w:line="413" w:lineRule="auto"/>
      <w:ind w:firstLine="0" w:firstLineChars="0"/>
      <w:outlineLvl w:val="2"/>
    </w:pPr>
    <w:rPr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character" w:styleId="14">
    <w:name w:val="Hyperlink"/>
    <w:basedOn w:val="13"/>
    <w:uiPriority w:val="0"/>
    <w:rPr>
      <w:color w:val="0000FF"/>
      <w:u w:val="single"/>
    </w:rPr>
  </w:style>
  <w:style w:type="paragraph" w:customStyle="1" w:styleId="15">
    <w:name w:val="新正文"/>
    <w:basedOn w:val="1"/>
    <w:qFormat/>
    <w:uiPriority w:val="0"/>
    <w:pPr>
      <w:adjustRightInd w:val="0"/>
      <w:spacing w:line="360" w:lineRule="auto"/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16">
    <w:name w:val="图名称"/>
    <w:basedOn w:val="1"/>
    <w:qFormat/>
    <w:uiPriority w:val="0"/>
    <w:pPr>
      <w:spacing w:line="360" w:lineRule="auto"/>
      <w:jc w:val="center"/>
    </w:pPr>
    <w:rPr>
      <w:rFonts w:hint="default"/>
      <w:sz w:val="18"/>
    </w:rPr>
  </w:style>
  <w:style w:type="paragraph" w:customStyle="1" w:styleId="1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9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2020</Words>
  <Characters>2161</Characters>
  <Lines>0</Lines>
  <Paragraphs>0</Paragraphs>
  <TotalTime>31</TotalTime>
  <ScaleCrop>false</ScaleCrop>
  <LinksUpToDate>false</LinksUpToDate>
  <CharactersWithSpaces>2291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2023-02-14T02:31:00Z</dcterms:created>
  <dc:creator>皮卡皮卡啾啾啾</dc:creator>
  <cp:lastModifiedBy>陈艳平</cp:lastModifiedBy>
  <dcterms:modified xsi:type="dcterms:W3CDTF">2024-01-04T06:40:52Z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5873A40E75BE4EFF9F237DAA762605D7</vt:lpwstr>
  </property>
</Properties>
</file>